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5pt;height:60.09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928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928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341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924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28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24.10.2024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928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-147" w:firstLine="0"/>
        <w:jc w:val="center"/>
        <w:spacing w:before="0" w:after="0" w:line="288" w:lineRule="atLeast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О внесении изменений в решение Городской Думы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</w:p>
    <w:p>
      <w:pPr>
        <w:ind w:left="0" w:right="-147" w:firstLine="0"/>
        <w:jc w:val="center"/>
        <w:spacing w:before="0" w:after="0" w:line="288" w:lineRule="atLeast"/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муниципального образования город Новый Уренгой </w:t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</w:r>
    </w:p>
    <w:p>
      <w:pPr>
        <w:ind w:left="0" w:right="-147" w:firstLine="0"/>
        <w:jc w:val="center"/>
        <w:spacing w:before="0" w:after="0" w:line="288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от 29.09.2011 № 128 </w:t>
      </w:r>
      <w:r>
        <w:rPr>
          <w:rFonts w:ascii="Liberation Sans" w:hAnsi="Liberation Sans" w:eastAsia="Liberation Sans" w:cs="Liberation Sans"/>
          <w:color w:val="000000"/>
          <w:sz w:val="24"/>
        </w:rPr>
        <w:br/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924"/>
        <w:ind w:left="0" w:right="-147" w:firstLine="0"/>
        <w:jc w:val="center"/>
        <w:spacing w:after="0" w:line="240" w:lineRule="auto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left="0" w:right="0" w:firstLine="0"/>
        <w:jc w:val="both"/>
        <w:spacing w:before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соответствии с федеральными законами 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06.10.2003 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№ 131-ФЗ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от 07.02.2011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№ 6-ФЗ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  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руководствуясь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924"/>
        <w:ind w:left="0" w:right="-147" w:firstLine="0"/>
        <w:jc w:val="both"/>
        <w:widowControl w:val="off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24"/>
        <w:ind w:left="0" w:right="-147" w:firstLine="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4"/>
        <w:ind w:left="0" w:right="-147" w:firstLine="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Внести следующие изменения в решение Городской Думы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Новый Уренгой от 29.09.2011 № 128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О Контрольно-счетной палате Нового Уренгоя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 (далее – решение)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В преамбуле слова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муниципального образования город Новый Уренгой, Городская Дума муниципального образования город Новый Уренгой решила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» заменить словами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 Уставом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 решила»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1.2. 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В пункте 3 </w:t>
      </w:r>
      <w:r>
        <w:rPr>
          <w:rFonts w:ascii="Liberation Sans" w:hAnsi="Liberation Sans" w:eastAsia="Liberation Sans" w:cs="Liberation Sans"/>
        </w:rPr>
        <w:t xml:space="preserve">слова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количестве 2 единиц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заменить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словами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количестве 5 единиц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Положение о Контрольно-счетной палате Нового Уренгоя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изложить в редакции согласно приложению к настоящему решению.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2. Признать утратившим силу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решение Городской Думы муниципального образования город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Новый Уренгой от 28.10.2021 № 98 «О внесении изменения в решение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от 29.09.2011 № 128»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auto"/>
          <w:sz w:val="28"/>
          <w:szCs w:val="28"/>
          <w:lang w:eastAsia="ru-RU"/>
        </w:rPr>
        <w:t xml:space="preserve">3. Разместить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auto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:lang w:eastAsia="ru-RU"/>
        </w:rPr>
        <w:t xml:space="preserve">4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  <w:lang w:eastAsia="ru-RU"/>
        </w:rPr>
        <w:t xml:space="preserve">. Решение вступает в силу </w:t>
      </w:r>
      <w:r>
        <w:rPr>
          <w:rFonts w:ascii="Liberation Sans" w:hAnsi="Liberation Sans" w:eastAsia="Liberation Sans" w:cs="Liberation Sans"/>
          <w:color w:val="auto"/>
          <w:highlight w:val="white"/>
          <w:lang w:eastAsia="ru-RU"/>
        </w:rPr>
        <w:t xml:space="preserve">со дня его опубликования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  <w:lang w:eastAsia="ru-RU"/>
        </w:rPr>
        <w:t xml:space="preserve">, </w:t>
        <w:br/>
        <w:t xml:space="preserve">за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  <w:lang w:eastAsia="ru-RU"/>
        </w:rPr>
        <w:t xml:space="preserve">исключением подпункта 1.2 пункта 1 настоящего решения и абзаца шестого пункта 8.1 приложения к настоящему решению, которые </w:t>
      </w:r>
      <w:r>
        <w:rPr>
          <w:rFonts w:ascii="Liberation Sans" w:hAnsi="Liberation Sans" w:eastAsia="Liberation Sans" w:cs="Liberation Sans"/>
          <w:color w:val="auto"/>
          <w:highlight w:val="white"/>
          <w:lang w:eastAsia="ru-RU"/>
        </w:rPr>
        <w:t xml:space="preserve">вступают в силу с 20.12.2024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  <w:lang w:eastAsia="ru-RU"/>
        </w:rPr>
        <w:t xml:space="preserve">.</w:t>
      </w:r>
      <w:r>
        <w:rPr>
          <w:rFonts w:ascii="Liberation Sans" w:hAnsi="Liberation Sans" w:cs="Liberation Sans"/>
          <w:color w:val="auto"/>
          <w:highlight w:val="white"/>
        </w:rPr>
      </w:r>
      <w:r>
        <w:rPr>
          <w:rFonts w:ascii="Liberation Sans" w:hAnsi="Liberation Sans" w:cs="Liberation Sans"/>
          <w:color w:val="auto"/>
          <w:highlight w:val="white"/>
        </w:rPr>
      </w:r>
    </w:p>
    <w:p>
      <w:pPr>
        <w:ind w:left="0" w:right="-147" w:firstLine="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4"/>
        <w:ind w:left="0" w:right="-147" w:firstLine="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4"/>
        <w:ind w:left="0" w:right="-147" w:firstLine="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3403"/>
        <w:gridCol w:w="194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24"/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924"/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5" w:type="dxa"/>
            <w:vAlign w:val="top"/>
            <w:textDirection w:val="lrTb"/>
            <w:noWrap w:val="false"/>
          </w:tcPr>
          <w:p>
            <w:pPr>
              <w:pStyle w:val="924"/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924"/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924"/>
              <w:ind w:left="0" w:right="-147" w:firstLine="0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 </w:t>
            </w: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3" w:type="dxa"/>
            <w:vAlign w:val="top"/>
            <w:textDirection w:val="lrTb"/>
            <w:noWrap w:val="false"/>
          </w:tcPr>
          <w:p>
            <w:pPr>
              <w:pStyle w:val="924"/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5" w:type="dxa"/>
            <w:vAlign w:val="top"/>
            <w:textDirection w:val="lrTb"/>
            <w:noWrap w:val="false"/>
          </w:tcPr>
          <w:p>
            <w:pPr>
              <w:ind w:left="0" w:right="-147" w:firstLine="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924"/>
              <w:ind w:left="0" w:right="-147" w:firstLine="0"/>
              <w:jc w:val="both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pStyle w:val="924"/>
        <w:ind w:left="0" w:right="-147" w:firstLine="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24"/>
        <w:jc w:val="both"/>
        <w:widowControl w:val="off"/>
        <w:rPr>
          <w:rFonts w:ascii="Liberation Sans" w:hAnsi="Liberation Sans" w:cs="Liberation Sans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0"/>
        <w:ind w:left="0" w:right="0" w:firstLine="5953"/>
        <w:jc w:val="left"/>
        <w:rPr>
          <w:rFonts w:ascii="Liberation Sans" w:hAnsi="Liberation Sans" w:eastAsia="Liberation Sans" w:cs="Liberation Sans"/>
          <w:sz w:val="28"/>
          <w:szCs w:val="28"/>
          <w:highlight w:val="none"/>
        </w:rPr>
        <w:outlineLvl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Приложение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30"/>
        <w:ind w:left="0" w:right="0" w:firstLine="5953"/>
        <w:jc w:val="lef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left="0" w:right="0" w:firstLine="5953"/>
        <w:jc w:val="lef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решению 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30"/>
        <w:ind w:left="0" w:right="0" w:firstLine="5953"/>
        <w:jc w:val="left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930"/>
        <w:ind w:left="0" w:right="0" w:firstLine="5953"/>
        <w:jc w:val="lef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 24.10.2024  № 341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8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center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</w:rPr>
        <w:t xml:space="preserve">Положение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ind w:firstLine="70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 Контрольно-счетной палате Нового Уренгоя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</w:pPr>
      <w:r/>
      <w:r/>
    </w:p>
    <w:p>
      <w:pPr>
        <w:pStyle w:val="931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1. Предмет регулирования настоящего Положения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Настоящее Положение в соответствии с Бюджетным </w:t>
      </w:r>
      <w:hyperlink r:id="rId14" w:tooltip="consultantplus://offline/ref=315301182057AAF8CB8969E548C5FDB1CBCF6F0C52B0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Российской Федерации, федеральными законами от 07.02.2011 </w:t>
      </w:r>
      <w:hyperlink r:id="rId15" w:tooltip="consultantplus://offline/ref=315301182057AAF8CB8969E548C5FDB1CBCF6F0E53B0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        №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6-ФЗ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                 от 06.10.2003 № </w:t>
      </w:r>
      <w:hyperlink r:id="rId16" w:tooltip="consultantplus://offline/ref=315301182057AAF8CB8969E548C5FDB1CBCF6F0B53BA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131-ФЗ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от 05.04.2013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№ 44-ФЗ    «О контрактной системе в сфере закупок товаров, работ, услуг для обеспечения государственных и муниципальных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нужд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hyperlink r:id="rId17" w:tooltip="consultantplus://offline/ref=315301182057AAF8CB8977E85EA9AABCCECC380255B687231877FA389E91449F7750A23C5C13DC101862199631E2BD322F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Ямало-Ненецкого автономного округа от 30.09.2011 № 101-ЗАО         «О некоторых вопросах 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рганизации и деятельности контрольно-счетных органов муниципальных образований в Ямало-Ненецком автономном округе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устанавливает статус, полномочия, состав </w:t>
        <w:br/>
        <w:t xml:space="preserve">и порядок деятельности Контрольно-счетной палаты Нового Уренгоя (далее - Контрольно-счетная палата).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2. Статус Контрольно-счетной палаты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1276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2.1. Контрольно-счетная палата является постоянно действующим органом внешнего муниципального финансового контроля, образуется Думой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 подотчетна ей.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2.2. Контрольно-счетная палата обладает организационной </w:t>
        <w:br/>
        <w:t xml:space="preserve">и функциональной независимостью и осуществляет свою деятельность самостоятельно.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2.3. Деятельность Контрольно-счетной палаты не может быть приостановлена, в том числе в связи с истечением срока или досрочным прекращением полномочий Думы города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2.4. 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(далее –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 Новый Уренгой)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contextualSpacing w:val="0"/>
        <w:ind w:firstLine="709"/>
        <w:jc w:val="both"/>
        <w:spacing w:before="0" w:beforeAutospacing="0"/>
        <w:widowControl/>
        <w:tabs>
          <w:tab w:val="left" w:pos="1417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.5.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Контрольно-счетная палата обладает правом правотворческ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ой инициативы по вопросам своей деятельности </w:t>
        <w:br/>
        <w:t xml:space="preserve">и реализации полномочий внешнего муниципального финансового контроля.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2.6. Полное наименование Контрольно-счетной палаты – Контрольно-счетная палата Нового Уренгоя.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Сокращенное наименование: Контрольно-счетная палата.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2.7. Местонахождение Контрольно-счетной палаты: 629309, Ямало-Ненецкий автономный округ, город Новый Уренгой, микрорайон Советский, д. 3.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3. Принципы деятельности Контрольно-счетной палаты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Деятельность Контрольно-счетной палаты основывается </w:t>
        <w:br/>
        <w:t xml:space="preserve">на принципах законности, объективности, эффективности, независимости, открытости и гласности.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4. Состав и структура Контрольно-счетной палаты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4.1. Контрольно-счетная палата образуется в составе председателя, аудитора и аппарата Контрольно-счетной палаты.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4.2. Председатель и аудитор Контрольно-счетной палаты замещают муниципальные должности.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4.3. Срок полномочий председателя, аудитора Контрольно-счетной палаты составляет пять лет.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4.4. В состав аппарата Контрольно-счетной палаты входят инспекторы 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иные штатные работники. Инспекторы Контрольно-счетной палаты замещают должност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муниципальной службы города Новый Уренгой.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</w:t>
        <w:br/>
        <w:t xml:space="preserve">в пределах компетенции Контрольно-счетной палаты.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4.5. Штатная численност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ь Контрольн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о-счетной палаты определяется решением Думы города Новый Уренгой </w:t>
        <w:br/>
        <w:t xml:space="preserve">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4.6. Структура и штатное расписание Контрольно-счетной палаты утверждается председателем Контрольно-счетной палаты исходя из возложенных на Контрольно-счетную палату полномочий.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4.7. Права, обязанности и ответственность должностных лиц </w:t>
        <w:br/>
        <w:t xml:space="preserve">и работников аппарата Контрольно-счетной палаты определяются Федеральным </w:t>
      </w:r>
      <w:hyperlink r:id="rId18" w:tooltip="consultantplus://offline/ref=315301182057AAF8CB8969E548C5FDB1CBCF6F0E53B0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от 07.02.2011 № 6-ФЗ 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законодательством о муниципальной службе, трудовым законодательством, настоящим Положением и иными нормативными правовыми актами, содержащими нормы трудового права.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5. Порядок назначения на должность председателя и аудитора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5.1. Председатель и аудитор Контрольно-счетной палаты назначаются на должность Думой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 Полномочия председателя и аудитора Контрольно-счетной палаты начинаются со дня вступления их в должность </w:t>
        <w:br/>
        <w:t xml:space="preserve">и прекращаются в день вступления в должность вновь назначенного должностного лица.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5.3. Предложения о кандидатурах на должность председателя Контрольно-счетной палаты вносятся в Думу города Новый Уренгой: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Главой города Новый Уренгой;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председателем 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депутатами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– не менее одной трети от установленного числа депутатов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постоянными комиссиями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5.4. Предложения о кандидатурах на должность председателя Контрольно-счетной палаты представляются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субъектами, перечисленными в </w:t>
      </w:r>
      <w:hyperlink w:tooltip="#P72" w:anchor="P7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пункте 5.3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настоящего Положения, не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позднее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чем за два месяца до истечения срока полномочий действующего председателя Контрольно-счетной палаты.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случае досрочного освобождения от должности председателя Контрольно-счетной палаты кандидатуры для назначения </w:t>
        <w:br/>
        <w:t xml:space="preserve">на должность председателя Контрольно-счетной палаты представляются в месячный срок со дня освобождения от должности.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5.5. Предложения о кандидатурах на должность аудитора Контрольно-счетной палаты вносятся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субъектами, перечисленными в </w:t>
      </w:r>
      <w:hyperlink w:tooltip="#P72" w:anchor="P7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пункте 5.3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настоящего Положения, </w:t>
        <w:br/>
        <w:t xml:space="preserve">а также председателем Контрольно-счетной палаты не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позднее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чем </w:t>
        <w:br/>
        <w:t xml:space="preserve">за два месяца до истечения срока полномочий действующего аудитора Контрольно-счетной палаты.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случае досрочного освобождения от должности аудитора Контрольно-счетной палаты кандидатура для назначения </w:t>
        <w:br/>
        <w:t xml:space="preserve">на должность аудитора Контрольно-счетной палаты представляется </w:t>
        <w:br/>
        <w:t xml:space="preserve">в месячный срок со дня освобождения от должности.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5.6. Порядок рассмотрения кандидатур на должности председателя и аудитора Контрольно-счетной палаты устанавливается </w:t>
      </w:r>
      <w:hyperlink r:id="rId19" w:tooltip="consultantplus://offline/ref=315301182057AAF8CB8977E85EA9AABCCECC380250B28D201975A73296C8489D705FFD395B02DC11117C1F912EEBE961B4648ACFB90B84EB88198C2024qE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Регламентом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5.7. 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При рассмотрении кандидатур, представленных </w:t>
        <w:br/>
        <w:t xml:space="preserve">на должность председателя Контр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ольно-счетной палаты,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вправе обратиться в Счетную палату Ямало-Ненецкого автономного округа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20" w:tooltip="consultantplus://offline/ref=315301182057AAF8CB8969E548C5FDB1CBCF6F0E53B0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от 07.02.2011 № 6-ФЗ 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Об общих принципах организации </w:t>
        <w:br/>
        <w:t xml:space="preserve">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6. Требования к кандидатурам на должности председателя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и аудитора Контрольно-счетной палаты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6.1. На должность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наличие высшего образования;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юриспруденции не менее пяти лет;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знание </w:t>
      </w:r>
      <w:hyperlink r:id="rId21" w:tooltip="consultantplus://offline/ref=315301182057AAF8CB8969E548C5FDB1CACF610A5AE4D875167DAF60C1C814D82656F6640646D70E137C1B29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Конституции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22" w:tooltip="consultantplus://offline/ref=315301182057AAF8CB8977E85EA9AABCCECC380250B78126197BA73296C8489D705FFD394902841D1175079029FEBF30F223q3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Устава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(Основной закон) ЯНАО, законов Ямало-Ненецкого автономного округа и иных нормативных правовых актов, </w:t>
      </w:r>
      <w:hyperlink r:id="rId23" w:tooltip="consultantplus://offline/ref=315301182057AAF8CB8977E85EA9AABCCECC380250B787231F79A73296C8489D705FFD394902841D1175079029FEBF30F223q3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Устава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к стандартам внешнего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</w:t>
        <w:br/>
        <w:t xml:space="preserve">и муниципальных образований, утвержденных Счетной палатой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6.2. Гражданин Российской Федерации не может быть назначен на должность председателя и аудитора Контрольно-счетной палаты </w:t>
        <w:br/>
        <w:t xml:space="preserve">в случае: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наличия у него неснятой или непогашенной судимости;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признания его недееспособным или ограниченно дееспособным решением суда, вступившим в законную силу;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отказа 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т прохождения процедуры оформления допуска </w:t>
        <w:br/>
        <w:t xml:space="preserve">к сведениям, составляющим государственную и иную охраняемую федеральным законом тайну, если исполнение обязанностей </w:t>
        <w:br/>
        <w:t xml:space="preserve">по должности, на замещение которой претендует гражданин, связано с использованием таких сведений;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прекращения гр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ажданства Российской Федерации или наличия гражданства (подданства) иностранного государства либо вида </w:t>
        <w:br/>
        <w:t xml:space="preserve">на жительство или иного документа, подтверждающего право </w:t>
        <w:br/>
        <w:t xml:space="preserve">на постоянное проживание гражданина Российской Федерации </w:t>
        <w:br/>
        <w:t xml:space="preserve">на территории иностранного государства;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наличия оснований, предусмотренных </w:t>
      </w:r>
      <w:hyperlink w:tooltip="#P97" w:anchor="P97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пунктом 6.3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настоящего Положения.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6.3. Граждане, замещающие должности председателя </w:t>
        <w:br/>
        <w:t xml:space="preserve">и аудитора Контрольно-счетной палаты, не могут состоять в близком родстве или свойстве (родители, супруги, 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ети, братья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сестры, </w:t>
        <w:br/>
        <w:t xml:space="preserve">а также братья, сестры, родители, дети супругов и супруги детей) </w:t>
        <w:br/>
        <w:t xml:space="preserve">с Главой города Новый Уренгой, председателем Думы города Новый Уренгой, руководителями судебных и правоохранительных органов, расположенных на территории города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6.4. Пре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дседатель и аудитор Контрольно-счетной палаты </w:t>
        <w:br/>
        <w:t xml:space="preserve"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</w:t>
        <w:br/>
        <w:t xml:space="preserve">не может финансировать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ся исключительно за счет средств иностранных государств, международных и иностранных организаций, иностранных граждан и лиц без граж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данства, если иное </w:t>
        <w:br/>
        <w:t xml:space="preserve">не предусмотрено международным договором Российской Федерации или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атель и аудитор Контрольно-счетной палаты, </w:t>
        <w:br/>
        <w:t xml:space="preserve">а также лица, претендующие на замещение указанных должностей, обязаны представлять сведения о своих доходах, расходах, </w:t>
        <w:br/>
        <w:t xml:space="preserve">об имуществе и обязательствах имущественного характера, а также </w:t>
        <w:br/>
        <w:t xml:space="preserve">о доходах, расходах, об имуще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стве и обязательствах имущественного характера своих супруги (супруга) и несовершеннолетних детей </w:t>
        <w:br/>
        <w:t xml:space="preserve">в порядке, установленном нормативными правовыми актами Российской Федерации, Ямало-Ненецкого автономного округа, муниципальными нормативными правовыми актами.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7. Гарантии статуса должностных лиц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7.1. Председатель, аудитор и инспекторы Контрольно-счетной палаты являются должностными лицами Контрольно-счетной палаты.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7.2. 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Воздействие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Ямало-Ненецкого автономного округа.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7.3. Должностные лица Контрольн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7.4. Должностные лица Контрольно-счетной палаты обладают гарантиями профессиональной независимости.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contextualSpacing w:val="0"/>
        <w:ind w:firstLine="709"/>
        <w:jc w:val="both"/>
        <w:pageBreakBefore w:val="0"/>
        <w:spacing w:before="0" w:beforeAutospacing="0"/>
        <w:widowControl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7.5. Председат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 и аудитор Контрольно-счетной палаты досрочно освобождаются от долж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ности на основании решения Думы города Новый Уренгой в случае: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вступления в законную силу обвинительного приговора суда </w:t>
        <w:br/>
        <w:t xml:space="preserve">в отношении них;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признания их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недееспособными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или ограниченно дееспособными вступившим в законную силу решением суда;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прекращения гр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ажданства Российской Федерации или наличия гражданства (подданства) иностранного государства либо вида </w:t>
        <w:br/>
        <w:t xml:space="preserve">на жительство или иного документа, подтверждающего право </w:t>
        <w:br/>
        <w:t xml:space="preserve">на постоянное проживание гражданина Российской Федерации </w:t>
        <w:br/>
        <w:t xml:space="preserve">на территории иностранного государства;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подачи письменного заявления об отставке;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нарушения требований законодательства Российской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Федерации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таких должностных лиц проголосует большинство от установленного числа депутатов Думы города Новый Уренгой;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достижения ими предельного возраста пребывания </w:t>
        <w:br/>
        <w:t xml:space="preserve">в должности 65 лет;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смерти;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выявления обстоятельств, предусмотренных </w:t>
      </w:r>
      <w:hyperlink w:tooltip="#P91" w:anchor="P91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пунктами 6.2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- </w:t>
      </w:r>
      <w:hyperlink w:tooltip="#P97" w:anchor="P97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6.3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настоящего Положения;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850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федеральными законами            от 25.12.2008 </w:t>
      </w:r>
      <w:hyperlink r:id="rId24" w:tooltip="consultantplus://offline/ref=315301182057AAF8CB8969E548C5FDB1CBCF630F52B1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№ 273-ФЗ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«О противодействии коррупции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                   от 03.12.2012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  от 07.05.2013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  <w:br/>
        <w:t xml:space="preserve">за пределами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территории Российской Федерации, владеть и (или) пользоваться иностранными финансовыми инструментами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7.6. Председатель и аудитор Контрольно-счетной палаты</w:t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освобождаются от ответственности за несоблюдение ограничений </w:t>
        <w:br/>
        <w:t xml:space="preserve">и запретов, требований о предотвращении или об урегулировании конфликта интересов и неисполнение обязанностей, установленных Федеральн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ым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от 07.02.2011 № 6-ФЗ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порядке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предусмотренном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частями 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-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6 статьи 13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Федерального закона от 25.12.2008 № 273-ФЗ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противоде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йствии коррупции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8. Полномочия Контрольно-счетной палаты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8.1. Контрольно-счетная палата осуществляет следующие полномочия: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организация и осуществление контроля за законностью </w:t>
        <w:br/>
        <w:t xml:space="preserve">и эффективностью использования средств местного бюджета, а также иных сре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дств в сл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учаях, предусмотренных законодательством Российской Федерации;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экспертиза проектов местного бюджета, проверка и анализ обоснованности его показателей;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внешняя проверка годового отчета об исполнении местного бюджета;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проведение аудита в сфере закупок товаров, работ и услуг </w:t>
        <w:br/>
        <w:t xml:space="preserve">в соответствии с Федеральным </w:t>
      </w:r>
      <w:hyperlink r:id="rId25" w:tooltip="consultantplus://offline/ref=315301182057AAF8CB8969E548C5FDB1CBCF6F0A51BB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от 05.04.2013 № 44-ФЗ           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924"/>
        <w:numPr>
          <w:ilvl w:val="0"/>
          <w:numId w:val="23"/>
        </w:numPr>
        <w:ind w:left="0" w:right="0" w:firstLine="709"/>
        <w:jc w:val="both"/>
        <w:spacing w:before="0" w:beforeAutospacing="0" w:line="240" w:lineRule="auto"/>
        <w:tabs>
          <w:tab w:val="left" w:pos="1134" w:leader="none"/>
        </w:tabs>
        <w:rPr>
          <w:rFonts w:ascii="Liberation Sans" w:hAnsi="Liberation Sans" w:cs="Liberation Sans"/>
          <w:color w:val="000000" w:themeColor="text1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контроль в сфере закупок;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</w:t>
        <w:br/>
        <w:t xml:space="preserve">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ств др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экспертиза проектов муниципа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льных правовых актов в части, касающейся расходных обязательств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экспертиза проектов муниципальных правовых актов, приводящих </w:t>
        <w:br/>
        <w:t xml:space="preserve">к изменению доходов местного бюджета, а также муниципальных программ (проектов муниципальных программ);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анализ и мониторинг бюджетного процесса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городе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проведение оперативного анализа исполнения 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контроля </w:t>
        <w:br/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организаци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ей исполнен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города Новый Уренгой и Главе города Новый Уренгой;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contextualSpacing w:val="0"/>
        <w:ind w:left="0" w:firstLine="709"/>
        <w:jc w:val="both"/>
        <w:spacing w:before="0" w:beforeAutospacing="0"/>
        <w:widowControl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ществление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контроля за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состоянием муниципального внутреннего и внешнего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долга;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оценка реализуемости, рисков и результатов достижения целей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социально-экономического развития города Новый Уренгой,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участие в пределах полномочий в мероприятиях, направленных на противодействие коррупции;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3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Ямало-Ненецкого автономного округа, </w:t>
      </w:r>
      <w:hyperlink r:id="rId26" w:tooltip="consultantplus://offline/ref=315301182057AAF8CB8977E85EA9AABCCECC380250B787231F79A73296C8489D705FFD394902841D1175079029FEBF30F223q3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Уставом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  <w:br/>
        <w:t xml:space="preserve">и нормативными правовыми актами Думы города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8.2. Внешний муниципальный финансовый контроль осуществляется Контрольно-счетной палатой: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4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отношении органов местного 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амоуправления </w:t>
        <w:br/>
        <w:t xml:space="preserve">и муниципальных органов, муниципальных учреждений </w:t>
        <w:br/>
        <w:t xml:space="preserve">и муниципальных унитарных предприятий города Новый Уренгой, </w:t>
        <w:br/>
        <w:t xml:space="preserve">а также иных организаций, если они используют имущество, находящееся в муниципальной собственности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4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отношении иных лиц в случаях, предусмотренных Бюджетным </w:t>
      </w:r>
      <w:hyperlink r:id="rId27" w:tooltip="consultantplus://offline/ref=315301182057AAF8CB8969E548C5FDB1CBCF6F0C52B0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Российской Федерации и другими федеральными законами.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9. Формы осуществления Контрольно-счетной палатой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внешнего муниципального финансового контроля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tabs>
          <w:tab w:val="left" w:pos="1134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9.1. 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9.2. При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</w:t>
        <w:br/>
        <w:t xml:space="preserve">и организаций. На основании акта (актов) Контрольно-счетной палатой составляется отчет.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9.3. При проведении экспертно-аналитического мероприятия Контрольно-счетной палатой составляется отчет или заключение.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10. Стандарты внешнего муниципального финансового контроля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10.1. Контрольно-счетная палата при осуществлении внешнего муниципального финансового контроля руководствуется </w:t>
      </w:r>
      <w:hyperlink r:id="rId28" w:tooltip="consultantplus://offline/ref=315301182057AAF8CB8969E548C5FDB1CACF610A5AE4D875167DAF60C1C814D82656F6640646D70E137C1B29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Конституцией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Федерации, законодательством Ямало-Ненецкого автономного округа, нормативными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правовыми актами города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Новый Уренгой, а также стандартами внешнего муниципального финансового контроля.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10.2.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</w:t>
        <w:br/>
        <w:t xml:space="preserve">в соответствии с общими требованиями, утвержденными Счетной палатой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10.3. При подготовке стандартов внешнего муниципального финансового контроля учитываются международные стандарты </w:t>
        <w:br/>
        <w:t xml:space="preserve">в области государственного контроля, аудита и финансовой отчетности.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10.4. 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</w:t>
        <w:br/>
        <w:t xml:space="preserve">и законодательству Ямало-Ненецкого автономного округа.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11. Планирование деятельности 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11.1. Контрольно-счетная палата осуществляет свою деятельность на основе планов, которые разрабатываются </w:t>
        <w:br/>
        <w:t xml:space="preserve">и утверждаются ею самостоятельно.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11.2. План деятельности Контрольно-счетной палаты утверждается до 30 декабря года, предшествующего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планируемому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11.3. Планирование деятельности Контрольно-счетной 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алаты осуще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ствляется с учетом результатов контрольных и экспертно-аналитических мероприятий, а также на основании поручений Думы города Новый Уренгой, предложений Главы города Новый Уренгой, поступивших в Контрольно-счетную палату до 15 декабря года, предшествующего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планируемому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11.4. Контрольно-счетная палата информирует Думу города Новый Уренгой и Главу города Новый Уренгой о формировании плана деятельности не позднее 1 декабря года, предшествующего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планируемому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11.5. Поступившие в Контрольно-счетную палату поручения Думы города Новый Уренгой, предложения Главы города Новый Уренгой подлежат рассмотрению в течение десяти рабочих дней.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Уведомления о принятом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решении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 включении поручений, предложений в план деятельности или об их отклонении направляются в адрес соответственно Думы города Новый Уренгой, Главы города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Основаниями для отклонения поручений, предложений в план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деятельности могут являться их несоответствие установленным полномочиям Контрольно-счетной палаты, нехватка трудовых ресурсов.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11.6. Поручения Думы города Новый Уренгой, а также предложения и запросы Главы города Новый Уренгой, поступившие </w:t>
        <w:br/>
        <w:t xml:space="preserve">в Контрольно-счетную палату после утверждения плана деятельности в целях его изменения и дополнения, подлежат рассмотрению </w:t>
        <w:br/>
        <w:t xml:space="preserve">в установленном </w:t>
      </w:r>
      <w:hyperlink w:tooltip="#P159" w:anchor="P159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пунктом 11.5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настоящего Положения порядке.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7. План деятельности Контрольно-счетной палаты, изменения и дополнения в него в течение трех рабочих дней со дня утверждения размещаются на официальном сайте Администрации города Новый Уренгой в сети Интернет.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12. Регламент Контрольно-счетной палаты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Регламент Контрольно-счетной палаты определяет: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6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6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процедуру опубликования в средствах массовой информации или размещения в сети Интернет информации о деятельности Контрольно-счетной палаты;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6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иные вопросы внутренней деятельности Контрольно-счетной палаты.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13. Обязательность исполнения требований должностных лиц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 палаты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13.1. 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Ямало-Ненецкого автономного округа, муниципальными 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ормативными правовыми актами, являются обязательными для исполнения органами местного самоуправления и муниципальными органами, организациями, </w:t>
        <w:br/>
        <w:t xml:space="preserve">в отношении которых осуществляется внешний муниципальный финансовый контроль (далее также – проверяемые органы </w:t>
        <w:br/>
        <w:t xml:space="preserve">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организации).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13.2. Неисполнение законных требований и запросов должностных лиц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</w:t>
        <w:br/>
        <w:t xml:space="preserve">и законодательством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14. Полномочия председателя, аудитора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палаты по организации деятельности 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14.1. Председатель Контрольно-счетной палаты: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 общее руководство деятельностью Контрольно-счетной палаты;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утверждает план деятельности Контрольно-счетной палаты </w:t>
        <w:br/>
        <w:t xml:space="preserve">и изменения к нему;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утверждает регламент Контрольно-счетной палаты;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утверждает результаты контрольных и экспертно-аналитических мероприятий Контрольно-счетной палаты;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подписывает представления и предписания Контрольно-счетной палаты;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может являться руководителем контрольных и экспертно-аналитических мероприятий;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представляет Главе города Новый Уренгой и председателю Думы города Новый Уренгой информацию о результатах проведенных контрольных и экспертно-аналитических мероприятий;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утверждает годовой отчет о деятельности Контрольно-счетной палаты и представляет его Думе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представляет Контрольно-счетную палату в отношениях </w:t>
        <w:br/>
        <w:t xml:space="preserve">с органами государственной власти, органами местного самоуправления и иными организациями;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 полномочия представителя нанимателя </w:t>
        <w:br/>
        <w:t xml:space="preserve">в соответствии с законодательством о муниципальной службе, полномочия по найму и увольнению работников аппарата Контрольно-счетной палаты, не являющихся муниципальными служащими;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обеспечивает правовое просвещение, своевременное ознакомление должностных лиц Контрольно-счетной палаты </w:t>
        <w:br/>
        <w:t xml:space="preserve">с нормативными правовыми актами в сфере противодействия коррупции, проведение иных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антикоррупционных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мероприятий;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5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издает правовые акты (распоряжения) по вопросам организации деятельности Контрольно-счетной палаты.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14.2. Аудитор Контрольно-счетной палаты: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7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отсутствие председателя Контрольно-счетной палаты выполняет его должностные обязанности;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7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может являться руководителем контрольных и экспертно-аналитических мероприятий;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numPr>
          <w:ilvl w:val="0"/>
          <w:numId w:val="27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выполняет иные должностные обязанности в соответствии </w:t>
        <w:br/>
        <w:t xml:space="preserve">с Регламентом и иными правовыми актами Контрольно-счетной палаты.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15. Права, обязанности и ответственность должностных лиц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15.1. Долж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ностные лица Контрольно-счетной палаты при осуществлении возложенных на них должностных полномочий имеют право: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случае обнаружения подделок, подлогов, хищений, зл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ством Российской Федерации. Опечатывание касс, кассовых и служебных помещений, складов </w:t>
        <w:br/>
        <w:t xml:space="preserve">и архивов, изъятие документов и материалов производятся </w:t>
        <w:br/>
        <w:t xml:space="preserve">с участием уполномоченных должностных лиц проверяемых органов </w:t>
        <w:br/>
        <w:t xml:space="preserve">и организаций и составлением соответствующих актов;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пределах своей компетенции направлять запросы должностным лицам терр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Ямало-Ненецкого автономного округа, органов местного самоуправления и организаций;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пределах своей компетенции требовать от руководителей и других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пределах своей компетенции знакомиться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со всеми необходимыми документами, касающимися финансово-хозяйственной деятельности проверяемых органов и организаций, в том числе </w:t>
        <w:br/>
        <w:t xml:space="preserve">в установленном порядке с документами, содержащими государственную, служебную, коммерческую и иную охраняемую законом тайну;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знакомиться с информацией, касающейся финансово-хозяйственной деятельно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сти проверяемых органов и организаций </w:t>
        <w:br/>
        <w:t xml:space="preserve">и хранящейся в электронной форме в базах данных проверяемых органов и организаций, в том числе в установленном порядке </w:t>
        <w:br/>
        <w:t xml:space="preserve">с информацией, содержащей государственную, служебную, коммерческую и иную охраняемую законом тайну;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знакомиться с технической документацией к электронным базам данных;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numPr>
          <w:ilvl w:val="0"/>
          <w:numId w:val="28"/>
        </w:numPr>
        <w:ind w:left="0" w:firstLine="709"/>
        <w:jc w:val="both"/>
        <w:spacing w:before="0" w:beforeAutospacing="0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составлять протоколы об административных правонарушениях, если такое право предусмотрено законодательством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15.2. 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</w:t>
        <w:br/>
        <w:t xml:space="preserve">и архивов, изъятия документов и материалов в случае, предусмотренном </w:t>
      </w:r>
      <w:hyperlink w:tooltip="#P207" w:anchor="P207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абзацем 3 пункта 15.1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настоящего Положения, должны незамедлительно (в течение 24 часов) уведомить об этом председателя Контрольно-счетной палаты в порядке и по форме, установленным законом Ямало-Ненецкого автономного округа.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15.3. Должностные лица Контрольно-счетной палаты не вправе вмешиваться в оперативно-хозяйственную деятельность проверяемых орг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актов, отчетов и заключений Контрольно-счетной палаты.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15.4. 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Должностные лица Контрольно-счетной палаты обязаны сохранять государственную, служебную, коммерческую и иную охраняемую законом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тайну, ставшую им известной при проведении </w:t>
        <w:br/>
        <w:t xml:space="preserve">в проверяемы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15.5. 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федеральными законами от 25.12.2008 </w:t>
      </w:r>
      <w:hyperlink r:id="rId29" w:tooltip="consultantplus://offline/ref=315301182057AAF8CB8969E548C5FDB1CBCF630F52B18F774728A165C9984EC8221FA360184FCF1017621B902D2Eq2M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№ 273-ФЗ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         «О противодействии коррупции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от 03.12.2012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от 07.05.2013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№ 79-ФЗ               «О запрете отдельным категориям лиц открывать и иметь счета (вклады), хранить наличные денежные средства и ценности </w:t>
        <w:br/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иностранных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банках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расположенных за пределами территории Российской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Федерации, владеть и (или) пользоваться иностранными финансовыми инструментами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15.6. Должностные лица Контрольно-счетной палаты несу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15.7. Председатель и аудитор Контрольно-счетной палаты вправе участвовать в заседаниях Думы города Новый Уренгой, ее комиссий и рабочих групп.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16. Предоставление информации Контрольно-счетной палате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16.1. 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Органы местного самоуправления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муниципальные органы, организации, в отношении которых контрольно-счетные органы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 должностные лица в установленные законом Ямало-Ненецкого автономного округа сроки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16.2. Запросы Контрольно-счетной палаты подписываются председателем Контрольно-счетной палаты, а в случае его отсутствия – аудитором Контрольно-счетной палаты.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Запросы Контрольно-счетной палаты должны содержать наименование органа, организации, в которые направляется запрос, сведения о контрольных и экспертно-аналитических мероприятиях, для проведения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которых Контрольно-счетной палате необходима информация, документы и материалы, перечень такой информации, документов и материалов.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16.3. 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осуществлении Контрольно-счетной палатой мероприятий внешнего 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</w:t>
        <w:br/>
        <w:t xml:space="preserve">с управленческой и иной отчетностью и документацией, документами, связанными с формированием и исполн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ением местного бюджета, использованием собственности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необходимыми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для выполнения Контрольно-счетной палатой ее полномочий.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Конт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рольно-счетной палаты, обеспечивать соответствующих должностных лиц Контрольно-счетной палаты, участвующих </w:t>
        <w:br/>
        <w:t xml:space="preserve">в контрольных мероприятиях, оборудованным рабочим местом </w:t>
        <w:br/>
        <w:t xml:space="preserve">с доступом к справочным правовым системам, информационно-телекоммуникационной сети Интернет.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16.4. Главные администраторы бюджетных средств не позднее 15 марта текущего года направляют в Контрольно-счетную палату годовую бюджетную отчетность.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16.5. 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Непредоставление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или несвоевременное предоставление Контрольно-счетной палате по ее запросу информации, документов </w:t>
        <w:br/>
        <w:t xml:space="preserve">и материалов, необходимых для проведения контрольных </w:t>
        <w:br/>
        <w:t xml:space="preserve">и экспертно-аналитических мероприятий, а равно предоставление информации, доку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ментов и материалов не в полном объеме или предоставление недостоверных информации, документов </w:t>
        <w:br/>
        <w:t xml:space="preserve">и материалов влечет за собой ответственность, установленную законодательством Российской Федерации и (или) законодательством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16.6. 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</w:t>
        <w:br/>
        <w:t xml:space="preserve">к государств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енным и муниципальным информационным системам </w:t>
        <w:br/>
        <w:t xml:space="preserve">в соответствии с законодательством Российской Федерации </w:t>
        <w:br/>
        <w:t xml:space="preserve">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17. Представления и предписания Контрольно-счетной палаты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</w:t>
        <w:br/>
        <w:t xml:space="preserve">и организации и их должностным лицам представления для принятия мер по устранению 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ыявленных бюджетных и иных нарушений </w:t>
        <w:br/>
        <w:t xml:space="preserve">и недостатков, предотвращению нанесения материального ущерба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городу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или возмещению причиненного ущерба, </w:t>
        <w:br/>
        <w:t xml:space="preserve">по привлечению к ответственности должностных лиц, виновных </w:t>
        <w:br/>
        <w:t xml:space="preserve">в допущенных нарушениях, а также мер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 пресечению, устранению </w:t>
        <w:br/>
        <w:t xml:space="preserve">и предупреждению нарушений.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17.2. Представление Контрольно-счетной палаты подписывается председателем Контрольно-счетной палаты либо аудитором.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Органы местного самоуправления, муниципальны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 органы, иные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</w:t>
        <w:br/>
        <w:t xml:space="preserve">по результатам выполнения представления решениях и мерах.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17.4. Срок выполнения представления может быть продлен </w:t>
        <w:br/>
        <w:t xml:space="preserve">по решению Контрольно-счетной палаты, но не более одного раза.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17.5. 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</w:t>
        <w:br/>
        <w:t xml:space="preserve">в случ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</w:t>
        <w:br/>
        <w:t xml:space="preserve">и муниципальные органы, проверяемые организации и их должностным лицам предписание.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17.6. Предписание Контрольно-счетной палаты должно содержать указание на конкретные допущенные нарушения </w:t>
        <w:br/>
        <w:t xml:space="preserve">и конкретные основания вынесения предписания.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17.7. Предписание Контрольно-счетной палаты подписывается председателем Контрольно-счетной палаты либо аудитором.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17.8. 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17.9. 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17.10. 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местного бюджета,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которых усматриваются признаки преступления или коррупционного правонарушения, Контрольно-счетная палата </w:t>
        <w:br/>
        <w:t xml:space="preserve">в установленном Регламентом Контрольно-счетной палаты порядке незамедлительно передает материалы контрольных мероприятий в правоохранительные органы.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18. Гарантии прав проверяемых органов и организаций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18.1. Акты, составленные Контрольно-счетной палатой при проведении контрольных мероприятий, доводятся до сведения руководителей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проверяемых органов и организаций. Пояснения </w:t>
        <w:br/>
        <w:t xml:space="preserve">и замечания руководителей проверяемых органов и организаций, представленные в сроки, установленные законом Ямало-Ненецкого автономного округа, прилагаются к актам и в дальнейшем являются их неотъемлемой частью.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18.2. Проверяемые органы и организации и их должностные лица вправе обратиться с жалобой на действия (бездействие) Контрольно-счетной палаты в Думу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19. Взаимодействие в сфере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внешнего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муниципального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финансового контроля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19.1. 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Контрольно-счетная палата при осуще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ствлении своей деятельности вправе взаимодействовать со Счетной палатой Ямало-Ненецкого автономного округа, контрольно-счетными органами других субъектов Российской Федерации и муниципальных образований, </w:t>
        <w:br/>
        <w:t xml:space="preserve">а также со Счетной палатой Российской Федерации, </w:t>
        <w:br/>
        <w:t xml:space="preserve">с 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</w:t>
        <w:br/>
        <w:t xml:space="preserve">и муниципальных образований.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Контрольно-счетная палата вправе заключать с ними соглашения о сотрудничестве и взаимодействии.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19.2.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19.3. 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19.4. В целях координации своей деятельности Контрольно-счетная палата и иные органы местного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самоуправления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  <w:t xml:space="preserve">и муниципальные органы могут создавать как временные, так </w:t>
        <w:br/>
        <w:t xml:space="preserve">и постоянно действующие совместные координационные, консультационные, совещательные и другие рабочие органы.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19.5. 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</w:t>
        <w:br/>
        <w:t xml:space="preserve">в проводимых ими контрольных и экспертно-аналитических мероприятиях.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19.6. Кон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трольно-счетная палата вправе обратиться в Счетную палату Российской Федерации за заключением о соответствии деятельности Контрольно-счетной палаты законодательству </w:t>
        <w:br/>
        <w:t xml:space="preserve">о внешнем муниципальном финансовом контроле и рекомендациями по повышению ее эффективности.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20. Обеспечение доступа к информации о деятельности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20.1. 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Контрольно-счетная палата в целях обеспечения доступа </w:t>
        <w:br/>
        <w:t xml:space="preserve">к информации о своей деятельности размещает на сайте Администрации города Новый Уренгой в сети Интернет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опубликовывает в средствах массовой информации информацию </w:t>
        <w:br/>
        <w:t xml:space="preserve">о проведенных контрольных и экспертно-аналитических мероприятиях, о выявленных при их проведении нарушениях, </w:t>
        <w:br/>
        <w:t xml:space="preserve">о внесенных представлениях и предписаниях, а также о принятых </w:t>
        <w:br/>
        <w:t xml:space="preserve">по ним решениях и мерах.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20.2. Конт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рольно-счетная палата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ежегодно представляет отчет </w:t>
        <w:br/>
        <w:t xml:space="preserve">о своей деятельности Думе города Новый Уренгой. Указанный отчет Контрольно-счетной палаты опубликовывается в средствах массовой информации или размещается в сети Интернет только после его рассмотрения Думой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20.3. 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</w:t>
        <w:br/>
        <w:t xml:space="preserve">с Регламентом Контрольно-счетной палаты.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21. Финансовое обеспечение деятельности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21.1. Финансовое обеспечение деятельности Контрольно-счетной палаты осуществляется за счет средств местного бюджета.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21.2. Расходы на обеспечение деятельности Контрольно-счетной палаты предусматриваются в местном бюджете отдельно от других расходов в соответствии с бюджетной классификацией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21.3. 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</w:t>
        <w:br/>
        <w:t xml:space="preserve">на основании решения Думы города Новый Уренгой.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22. Материальное, социальное обеспечение и гарантии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1"/>
        <w:jc w:val="center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работников Контрольно-счетной палаты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930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22.1. 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Должностным лицам Контрольно-счетно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иального обеспечения, установленные для лиц, замещающих муниципальные должности и должности муниципальной службы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22.2. Меры по материальному и социальному обесп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ечению председателя, аудитора, инспекторов и иных работников аппарата Контрольно-счетной палаты устанавливаются муниципальными правовыми актами в соответствии с законодательством Российской Федерации и законодательством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0"/>
        <w:ind w:firstLine="709"/>
        <w:jc w:val="both"/>
        <w:spacing w:before="0" w:beforeAutospacing="0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pPr>
        <w:pStyle w:val="924"/>
        <w:jc w:val="both"/>
        <w:widowControl w:val="off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sectPr>
      <w:footnotePr/>
      <w:endnotePr/>
      <w:type w:val="nextPage"/>
      <w:pgSz w:w="11900" w:h="16820" w:orient="portrait"/>
      <w:pgMar w:top="851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rFonts w:ascii="Liberation Sans" w:hAnsi="Liberation Sans" w:eastAsia="Liberation Sans" w:cs="Liberation Sans"/>
        <w:highlight w:val="none"/>
      </w:rPr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</w:p>
  <w:p>
    <w:pPr>
      <w:pStyle w:val="774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  <w:highlight w:val="none"/>
      </w:rPr>
    </w:r>
    <w:r>
      <w:rPr>
        <w:rFonts w:ascii="Liberation Sans" w:hAnsi="Liberation Sans" w:eastAsia="Liberation Sans" w:cs="Liberation Sans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</w:pPr>
    <w:r/>
    <w:r/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sz w:val="28"/>
      <w:szCs w:val="28"/>
      <w:lang w:val="ru-RU" w:eastAsia="ru-RU" w:bidi="ar-SA"/>
    </w:rPr>
  </w:style>
  <w:style w:type="character" w:styleId="925">
    <w:name w:val="Основной шрифт абзаца"/>
    <w:next w:val="925"/>
    <w:link w:val="924"/>
    <w:semiHidden/>
  </w:style>
  <w:style w:type="table" w:styleId="926">
    <w:name w:val="Обычная таблица"/>
    <w:next w:val="926"/>
    <w:link w:val="924"/>
    <w:semiHidden/>
    <w:tblPr/>
  </w:style>
  <w:style w:type="numbering" w:styleId="927">
    <w:name w:val="Нет списка"/>
    <w:next w:val="927"/>
    <w:link w:val="924"/>
    <w:semiHidden/>
  </w:style>
  <w:style w:type="paragraph" w:styleId="928">
    <w:name w:val="Верхний колонтитул"/>
    <w:basedOn w:val="924"/>
    <w:next w:val="928"/>
    <w:link w:val="933"/>
    <w:pPr>
      <w:tabs>
        <w:tab w:val="center" w:pos="4153" w:leader="none"/>
        <w:tab w:val="right" w:pos="8306" w:leader="none"/>
      </w:tabs>
    </w:pPr>
  </w:style>
  <w:style w:type="table" w:styleId="929">
    <w:name w:val="Сетка таблицы"/>
    <w:basedOn w:val="926"/>
    <w:next w:val="929"/>
    <w:link w:val="924"/>
    <w:tblPr/>
  </w:style>
  <w:style w:type="paragraph" w:styleId="930">
    <w:name w:val="ConsPlusNormal"/>
    <w:next w:val="930"/>
    <w:link w:val="92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1">
    <w:name w:val="ConsPlusTitle"/>
    <w:next w:val="931"/>
    <w:link w:val="924"/>
    <w:rPr>
      <w:b/>
      <w:bCs/>
      <w:sz w:val="24"/>
      <w:szCs w:val="24"/>
      <w:lang w:val="ru-RU" w:eastAsia="ru-RU" w:bidi="ar-SA"/>
    </w:rPr>
  </w:style>
  <w:style w:type="paragraph" w:styleId="932">
    <w:name w:val="Знак"/>
    <w:basedOn w:val="924"/>
    <w:next w:val="932"/>
    <w:link w:val="9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3">
    <w:name w:val="Верхний колонтитул Знак"/>
    <w:basedOn w:val="925"/>
    <w:next w:val="933"/>
    <w:link w:val="928"/>
    <w:rPr>
      <w:sz w:val="28"/>
      <w:szCs w:val="28"/>
      <w:lang w:val="ru-RU" w:eastAsia="ru-RU" w:bidi="ar-SA"/>
    </w:r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  <w:style w:type="paragraph" w:styleId="937" w:customStyle="1">
    <w:name w:val="Body Text Indent"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Relationship Id="rId14" Type="http://schemas.openxmlformats.org/officeDocument/2006/relationships/hyperlink" Target="consultantplus://offline/ref=315301182057AAF8CB8969E548C5FDB1CBCF6F0C52B08F774728A165C9984EC8221FA360184FCF1017621B902D2Eq2M" TargetMode="External"/><Relationship Id="rId15" Type="http://schemas.openxmlformats.org/officeDocument/2006/relationships/hyperlink" Target="consultantplus://offline/ref=315301182057AAF8CB8969E548C5FDB1CBCF6F0E53B08F774728A165C9984EC8221FA360184FCF1017621B902D2Eq2M" TargetMode="External"/><Relationship Id="rId16" Type="http://schemas.openxmlformats.org/officeDocument/2006/relationships/hyperlink" Target="consultantplus://offline/ref=315301182057AAF8CB8969E548C5FDB1CBCF6F0B53BA8F774728A165C9984EC8221FA360184FCF1017621B902D2Eq2M" TargetMode="External"/><Relationship Id="rId17" Type="http://schemas.openxmlformats.org/officeDocument/2006/relationships/hyperlink" Target="consultantplus://offline/ref=315301182057AAF8CB8977E85EA9AABCCECC380255B687231877FA389E91449F7750A23C5C13DC101862199631E2BD322Fq2M" TargetMode="External"/><Relationship Id="rId18" Type="http://schemas.openxmlformats.org/officeDocument/2006/relationships/hyperlink" Target="consultantplus://offline/ref=315301182057AAF8CB8969E548C5FDB1CBCF6F0E53B08F774728A165C9984EC8221FA360184FCF1017621B902D2Eq2M" TargetMode="External"/><Relationship Id="rId19" Type="http://schemas.openxmlformats.org/officeDocument/2006/relationships/hyperlink" Target="consultantplus://offline/ref=315301182057AAF8CB8977E85EA9AABCCECC380250B28D201975A73296C8489D705FFD395B02DC11117C1F912EEBE961B4648ACFB90B84EB88198C2024qEM" TargetMode="External"/><Relationship Id="rId20" Type="http://schemas.openxmlformats.org/officeDocument/2006/relationships/hyperlink" Target="consultantplus://offline/ref=315301182057AAF8CB8969E548C5FDB1CBCF6F0E53B08F774728A165C9984EC8221FA360184FCF1017621B902D2Eq2M" TargetMode="External"/><Relationship Id="rId21" Type="http://schemas.openxmlformats.org/officeDocument/2006/relationships/hyperlink" Target="consultantplus://offline/ref=315301182057AAF8CB8969E548C5FDB1CACF610A5AE4D875167DAF60C1C814D82656F6640646D70E137C1B29q2M" TargetMode="External"/><Relationship Id="rId22" Type="http://schemas.openxmlformats.org/officeDocument/2006/relationships/hyperlink" Target="consultantplus://offline/ref=315301182057AAF8CB8977E85EA9AABCCECC380250B78126197BA73296C8489D705FFD394902841D1175079029FEBF30F223q3M" TargetMode="External"/><Relationship Id="rId23" Type="http://schemas.openxmlformats.org/officeDocument/2006/relationships/hyperlink" Target="consultantplus://offline/ref=315301182057AAF8CB8977E85EA9AABCCECC380250B787231F79A73296C8489D705FFD394902841D1175079029FEBF30F223q3M" TargetMode="External"/><Relationship Id="rId24" Type="http://schemas.openxmlformats.org/officeDocument/2006/relationships/hyperlink" Target="consultantplus://offline/ref=315301182057AAF8CB8969E548C5FDB1CBCF630F52B18F774728A165C9984EC8221FA360184FCF1017621B902D2Eq2M" TargetMode="External"/><Relationship Id="rId25" Type="http://schemas.openxmlformats.org/officeDocument/2006/relationships/hyperlink" Target="consultantplus://offline/ref=315301182057AAF8CB8969E548C5FDB1CBCF6F0A51BB8F774728A165C9984EC8221FA360184FCF1017621B902D2Eq2M" TargetMode="External"/><Relationship Id="rId26" Type="http://schemas.openxmlformats.org/officeDocument/2006/relationships/hyperlink" Target="consultantplus://offline/ref=315301182057AAF8CB8977E85EA9AABCCECC380250B787231F79A73296C8489D705FFD394902841D1175079029FEBF30F223q3M" TargetMode="External"/><Relationship Id="rId27" Type="http://schemas.openxmlformats.org/officeDocument/2006/relationships/hyperlink" Target="consultantplus://offline/ref=315301182057AAF8CB8969E548C5FDB1CBCF6F0C52B08F774728A165C9984EC8221FA360184FCF1017621B902D2Eq2M" TargetMode="External"/><Relationship Id="rId28" Type="http://schemas.openxmlformats.org/officeDocument/2006/relationships/hyperlink" Target="consultantplus://offline/ref=315301182057AAF8CB8969E548C5FDB1CACF610A5AE4D875167DAF60C1C814D82656F6640646D70E137C1B29q2M" TargetMode="External"/><Relationship Id="rId29" Type="http://schemas.openxmlformats.org/officeDocument/2006/relationships/hyperlink" Target="consultantplus://offline/ref=315301182057AAF8CB8969E548C5FDB1CBCF630F52B18F774728A165C9984EC8221FA360184FCF1017621B902D2Eq2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2023-01-19T07:01:00Z</dcterms:created>
  <dcterms:modified xsi:type="dcterms:W3CDTF">2024-10-25T04:55:47Z</dcterms:modified>
  <cp:version>786432</cp:version>
</cp:coreProperties>
</file>